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DE63" w14:textId="77777777" w:rsidR="003A7018" w:rsidRPr="00DF1C39" w:rsidRDefault="003A7018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14:paraId="4E6680D0" w14:textId="6F6C0062" w:rsidR="00F15066" w:rsidRPr="00DF1C39" w:rsidRDefault="003A7018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 xml:space="preserve">                  </w:t>
      </w:r>
    </w:p>
    <w:p w14:paraId="4D688759" w14:textId="77777777" w:rsidR="005D3116" w:rsidRPr="00DF1C39" w:rsidRDefault="005D3116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3E1D4EBA" w14:textId="2015F9B1" w:rsidR="00326638" w:rsidRPr="00DF1C39" w:rsidRDefault="00BA1077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E305F1">
        <w:rPr>
          <w:rFonts w:asciiTheme="minorHAnsi" w:hAnsiTheme="minorHAnsi" w:cs="Arial"/>
          <w:b/>
          <w:sz w:val="24"/>
          <w:szCs w:val="24"/>
        </w:rPr>
        <w:t>DE CONCENTRAÇÃO</w:t>
      </w:r>
      <w:r w:rsidR="007F40DE" w:rsidRPr="00DF1C39">
        <w:rPr>
          <w:rFonts w:asciiTheme="minorHAnsi" w:hAnsiTheme="minorHAnsi" w:cs="Arial"/>
          <w:b/>
          <w:sz w:val="24"/>
          <w:szCs w:val="24"/>
        </w:rPr>
        <w:t xml:space="preserve">: </w:t>
      </w:r>
      <w:r w:rsidR="00EB2BC5" w:rsidRPr="00DF1C39">
        <w:rPr>
          <w:rFonts w:asciiTheme="minorHAnsi" w:hAnsiTheme="minorHAnsi" w:cs="Arial"/>
          <w:b/>
          <w:sz w:val="24"/>
          <w:szCs w:val="24"/>
        </w:rPr>
        <w:t xml:space="preserve">TAXONOMIA E BIONOMIA DE </w:t>
      </w:r>
      <w:r w:rsidR="007F40DE" w:rsidRPr="00DF1C39">
        <w:rPr>
          <w:rFonts w:asciiTheme="minorHAnsi" w:hAnsiTheme="minorHAnsi" w:cs="Arial"/>
          <w:b/>
          <w:sz w:val="24"/>
          <w:szCs w:val="24"/>
        </w:rPr>
        <w:t xml:space="preserve">CERATOPOGONIDAE </w:t>
      </w:r>
    </w:p>
    <w:p w14:paraId="056216E8" w14:textId="77777777" w:rsidR="00F34C99" w:rsidRPr="00DF1C39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594BC7" w:rsidRPr="00DF1C39">
        <w:rPr>
          <w:rFonts w:asciiTheme="minorHAnsi" w:hAnsiTheme="minorHAnsi" w:cs="Arial"/>
          <w:sz w:val="24"/>
          <w:szCs w:val="24"/>
        </w:rPr>
        <w:t xml:space="preserve">360 </w:t>
      </w:r>
      <w:r w:rsidR="00440DF4" w:rsidRPr="00DF1C39">
        <w:rPr>
          <w:rFonts w:asciiTheme="minorHAnsi" w:hAnsiTheme="minorHAnsi" w:cs="Arial"/>
          <w:sz w:val="24"/>
          <w:szCs w:val="24"/>
        </w:rPr>
        <w:t>HORAS</w:t>
      </w:r>
    </w:p>
    <w:p w14:paraId="1F1573E3" w14:textId="52A95A1B" w:rsidR="00326638" w:rsidRPr="00DF1C39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EB2BC5" w:rsidRPr="00DF1C39">
        <w:rPr>
          <w:rFonts w:asciiTheme="minorHAnsi" w:hAnsiTheme="minorHAnsi" w:cs="Arial"/>
          <w:sz w:val="24"/>
          <w:szCs w:val="24"/>
        </w:rPr>
        <w:t xml:space="preserve">Maria Luiza </w:t>
      </w:r>
      <w:proofErr w:type="spellStart"/>
      <w:r w:rsidR="00EB2BC5" w:rsidRPr="00DF1C39">
        <w:rPr>
          <w:rFonts w:asciiTheme="minorHAnsi" w:hAnsiTheme="minorHAnsi" w:cs="Arial"/>
          <w:sz w:val="24"/>
          <w:szCs w:val="24"/>
        </w:rPr>
        <w:t>Felippe</w:t>
      </w:r>
      <w:proofErr w:type="spellEnd"/>
      <w:r w:rsidR="00EB2BC5" w:rsidRPr="00DF1C39">
        <w:rPr>
          <w:rFonts w:asciiTheme="minorHAnsi" w:hAnsiTheme="minorHAnsi" w:cs="Arial"/>
          <w:sz w:val="24"/>
          <w:szCs w:val="24"/>
        </w:rPr>
        <w:t xml:space="preserve"> Bauer e Maria Clara Alves Santarém</w:t>
      </w:r>
    </w:p>
    <w:p w14:paraId="767BE4ED" w14:textId="77777777" w:rsidR="00326638" w:rsidRPr="00DF1C39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A0A4353" w14:textId="77777777" w:rsidR="00326638" w:rsidRPr="00DF1C39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>EMENTA</w:t>
      </w:r>
      <w:r w:rsidRPr="00DF1C39">
        <w:rPr>
          <w:rFonts w:asciiTheme="minorHAnsi" w:hAnsiTheme="minorHAnsi" w:cs="Arial"/>
          <w:sz w:val="24"/>
          <w:szCs w:val="24"/>
        </w:rPr>
        <w:t xml:space="preserve"> </w:t>
      </w:r>
    </w:p>
    <w:p w14:paraId="63C77FD5" w14:textId="777FF3C1" w:rsidR="00EB2BC5" w:rsidRDefault="007F40DE" w:rsidP="00326638">
      <w:pPr>
        <w:pStyle w:val="SemEspaamento1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sz w:val="24"/>
          <w:szCs w:val="24"/>
        </w:rPr>
        <w:t xml:space="preserve">Taxonomia de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Identificação dos principais gêneros.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Bionomia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 de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Importância sanitária do gênero </w:t>
      </w:r>
      <w:proofErr w:type="spellStart"/>
      <w:r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Taxonomia de </w:t>
      </w:r>
      <w:proofErr w:type="spellStart"/>
      <w:r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Técnicas de montagem e identificação. Principais características morfológicas usadas na identificação dos </w:t>
      </w:r>
      <w:proofErr w:type="spellStart"/>
      <w:r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</w:t>
      </w:r>
    </w:p>
    <w:p w14:paraId="45C8CF98" w14:textId="77777777" w:rsidR="004B2776" w:rsidRPr="00DF1C39" w:rsidRDefault="004B2776" w:rsidP="00326638">
      <w:pPr>
        <w:pStyle w:val="SemEspaamento1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96C8D1" w14:textId="77777777" w:rsidR="00326638" w:rsidRPr="00DF1C39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>OBJETIVO</w:t>
      </w:r>
    </w:p>
    <w:p w14:paraId="53A2CE38" w14:textId="1F146855" w:rsidR="007F40DE" w:rsidRPr="00DF1C39" w:rsidRDefault="007F40DE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sz w:val="24"/>
          <w:szCs w:val="24"/>
        </w:rPr>
        <w:t xml:space="preserve">Apresentar a família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, </w:t>
      </w:r>
      <w:r w:rsidR="000A0215" w:rsidRPr="00DF1C39">
        <w:rPr>
          <w:rFonts w:asciiTheme="minorHAnsi" w:hAnsiTheme="minorHAnsi" w:cs="Arial"/>
          <w:sz w:val="24"/>
          <w:szCs w:val="24"/>
        </w:rPr>
        <w:t xml:space="preserve">caracterização dos principais gêneros e conhecimento da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bionomia</w:t>
      </w:r>
      <w:proofErr w:type="spellEnd"/>
      <w:r w:rsidR="000A0215" w:rsidRPr="00DF1C39">
        <w:rPr>
          <w:rFonts w:asciiTheme="minorHAnsi" w:hAnsiTheme="minorHAnsi" w:cs="Arial"/>
          <w:sz w:val="24"/>
          <w:szCs w:val="24"/>
        </w:rPr>
        <w:t>.</w:t>
      </w:r>
      <w:r w:rsidRPr="00DF1C39">
        <w:rPr>
          <w:rFonts w:asciiTheme="minorHAnsi" w:hAnsiTheme="minorHAnsi" w:cs="Arial"/>
          <w:sz w:val="24"/>
          <w:szCs w:val="24"/>
        </w:rPr>
        <w:t xml:space="preserve"> </w:t>
      </w:r>
    </w:p>
    <w:p w14:paraId="27CE2172" w14:textId="77777777" w:rsidR="007F40DE" w:rsidRPr="00DF1C39" w:rsidRDefault="007F40DE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sz w:val="24"/>
          <w:szCs w:val="24"/>
        </w:rPr>
        <w:t xml:space="preserve">Entender a importância medico-veterinária dos </w:t>
      </w:r>
      <w:proofErr w:type="spellStart"/>
      <w:r w:rsidRPr="00DF1C39">
        <w:rPr>
          <w:rFonts w:asciiTheme="minorHAnsi" w:hAnsiTheme="minorHAnsi" w:cs="Arial"/>
          <w:sz w:val="24"/>
          <w:szCs w:val="24"/>
        </w:rPr>
        <w:t>ceratopogonídeos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 do gênero </w:t>
      </w:r>
      <w:proofErr w:type="spellStart"/>
      <w:r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Pr="00DF1C39">
        <w:rPr>
          <w:rFonts w:asciiTheme="minorHAnsi" w:hAnsiTheme="minorHAnsi" w:cs="Arial"/>
          <w:sz w:val="24"/>
          <w:szCs w:val="24"/>
        </w:rPr>
        <w:t xml:space="preserve">. </w:t>
      </w:r>
    </w:p>
    <w:p w14:paraId="18140373" w14:textId="6CF347A3" w:rsidR="000A0215" w:rsidRPr="00DF1C39" w:rsidRDefault="0013502C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Capacitar</w:t>
      </w:r>
      <w:r w:rsidRPr="00DF1C39">
        <w:rPr>
          <w:rFonts w:asciiTheme="minorHAnsi" w:hAnsiTheme="minorHAnsi" w:cs="Arial"/>
          <w:sz w:val="24"/>
          <w:szCs w:val="24"/>
        </w:rPr>
        <w:t xml:space="preserve"> </w:t>
      </w:r>
      <w:r w:rsidR="007F40DE" w:rsidRPr="00DF1C39">
        <w:rPr>
          <w:rFonts w:asciiTheme="minorHAnsi" w:hAnsiTheme="minorHAnsi" w:cs="Arial"/>
          <w:sz w:val="24"/>
          <w:szCs w:val="24"/>
        </w:rPr>
        <w:t xml:space="preserve">o aluno a proceder com as técnicas </w:t>
      </w:r>
      <w:r w:rsidR="000A0215" w:rsidRPr="00DF1C39">
        <w:rPr>
          <w:rFonts w:asciiTheme="minorHAnsi" w:hAnsiTheme="minorHAnsi" w:cs="Arial"/>
          <w:sz w:val="24"/>
          <w:szCs w:val="24"/>
        </w:rPr>
        <w:t xml:space="preserve">adequadas </w:t>
      </w:r>
      <w:r w:rsidR="007F40DE" w:rsidRPr="00DF1C39">
        <w:rPr>
          <w:rFonts w:asciiTheme="minorHAnsi" w:hAnsiTheme="minorHAnsi" w:cs="Arial"/>
          <w:sz w:val="24"/>
          <w:szCs w:val="24"/>
        </w:rPr>
        <w:t xml:space="preserve">de montagem de </w:t>
      </w:r>
      <w:proofErr w:type="spellStart"/>
      <w:r w:rsidR="007F40DE"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="007F40DE" w:rsidRPr="00DF1C39">
        <w:rPr>
          <w:rFonts w:asciiTheme="minorHAnsi" w:hAnsiTheme="minorHAnsi" w:cs="Arial"/>
          <w:sz w:val="24"/>
          <w:szCs w:val="24"/>
        </w:rPr>
        <w:t xml:space="preserve">, </w:t>
      </w:r>
      <w:r w:rsidR="000A0215" w:rsidRPr="00DF1C39">
        <w:rPr>
          <w:rFonts w:asciiTheme="minorHAnsi" w:hAnsiTheme="minorHAnsi" w:cs="Arial"/>
          <w:sz w:val="24"/>
          <w:szCs w:val="24"/>
        </w:rPr>
        <w:t xml:space="preserve">visando os estudos taxonômicos. </w:t>
      </w:r>
    </w:p>
    <w:p w14:paraId="29E5E9DB" w14:textId="27647C98" w:rsidR="007F40DE" w:rsidRPr="00DF1C39" w:rsidRDefault="000A0215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Reconhecer</w:t>
      </w:r>
      <w:r w:rsidR="007F40DE" w:rsidRPr="00DF1C39">
        <w:rPr>
          <w:rFonts w:asciiTheme="minorHAnsi" w:hAnsiTheme="minorHAnsi" w:cs="Arial"/>
          <w:sz w:val="24"/>
          <w:szCs w:val="24"/>
        </w:rPr>
        <w:t xml:space="preserve"> as principais características morfológicas de importância na taxonomia do</w:t>
      </w:r>
      <w:r w:rsidRPr="00DF1C39">
        <w:rPr>
          <w:rFonts w:asciiTheme="minorHAnsi" w:hAnsiTheme="minorHAnsi" w:cs="Arial"/>
          <w:sz w:val="24"/>
          <w:szCs w:val="24"/>
        </w:rPr>
        <w:t>s</w:t>
      </w:r>
      <w:r w:rsidR="007F40DE" w:rsidRPr="00DF1C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F1C39">
        <w:rPr>
          <w:rFonts w:asciiTheme="minorHAnsi" w:hAnsiTheme="minorHAnsi" w:cs="Arial"/>
          <w:i/>
          <w:sz w:val="24"/>
          <w:szCs w:val="24"/>
        </w:rPr>
        <w:t>Culicoides</w:t>
      </w:r>
      <w:proofErr w:type="spellEnd"/>
      <w:r w:rsidR="007F40DE" w:rsidRPr="00DF1C39">
        <w:rPr>
          <w:rFonts w:asciiTheme="minorHAnsi" w:hAnsiTheme="minorHAnsi" w:cs="Arial"/>
          <w:sz w:val="24"/>
          <w:szCs w:val="24"/>
        </w:rPr>
        <w:t xml:space="preserve">. </w:t>
      </w:r>
    </w:p>
    <w:p w14:paraId="74494F6C" w14:textId="77777777" w:rsidR="00326638" w:rsidRPr="00DF1C39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 w:cs="Arial"/>
          <w:sz w:val="24"/>
          <w:szCs w:val="24"/>
        </w:rPr>
        <w:t>Capacitar o aluno a manusear os equipamentos bá</w:t>
      </w:r>
      <w:r w:rsidR="007F40DE" w:rsidRPr="00DF1C39">
        <w:rPr>
          <w:rFonts w:asciiTheme="minorHAnsi" w:hAnsiTheme="minorHAnsi" w:cs="Arial"/>
          <w:sz w:val="24"/>
          <w:szCs w:val="24"/>
        </w:rPr>
        <w:t>sicos utilizados em laboratório.</w:t>
      </w:r>
    </w:p>
    <w:p w14:paraId="3AC8C79E" w14:textId="462CD671" w:rsidR="0013502C" w:rsidRPr="00DF1C39" w:rsidRDefault="0013502C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Conhecer os procedimentos básicos de biossegurança </w:t>
      </w:r>
      <w:r w:rsidR="000A0215" w:rsidRPr="00DF1C39">
        <w:rPr>
          <w:rFonts w:asciiTheme="minorHAnsi" w:hAnsiTheme="minorHAnsi"/>
          <w:sz w:val="24"/>
          <w:szCs w:val="24"/>
        </w:rPr>
        <w:t xml:space="preserve">e da manutenção da qualidade </w:t>
      </w:r>
      <w:r w:rsidRPr="00DF1C39">
        <w:rPr>
          <w:rFonts w:asciiTheme="minorHAnsi" w:hAnsiTheme="minorHAnsi"/>
          <w:sz w:val="24"/>
          <w:szCs w:val="24"/>
        </w:rPr>
        <w:t>no tocante ao trabalho laboratorial executado durante a disciplina.</w:t>
      </w:r>
    </w:p>
    <w:p w14:paraId="3B78CC69" w14:textId="77777777" w:rsidR="00326638" w:rsidRPr="00DF1C39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24469A75" w14:textId="77777777" w:rsidR="00326638" w:rsidRPr="00DF1C39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>CONTEÚDO PROGRAMÁTICO</w:t>
      </w:r>
    </w:p>
    <w:p w14:paraId="43A04AD4" w14:textId="77777777" w:rsidR="00326638" w:rsidRPr="00DF1C39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 w:rsidRPr="00DF1C39">
        <w:rPr>
          <w:rFonts w:asciiTheme="minorHAnsi" w:hAnsiTheme="minorHAnsi"/>
          <w:b/>
          <w:sz w:val="24"/>
          <w:szCs w:val="24"/>
        </w:rPr>
        <w:t>Formação t</w:t>
      </w:r>
      <w:r w:rsidR="005A7091" w:rsidRPr="00DF1C39">
        <w:rPr>
          <w:rFonts w:asciiTheme="minorHAnsi" w:hAnsiTheme="minorHAnsi"/>
          <w:b/>
          <w:sz w:val="24"/>
          <w:szCs w:val="24"/>
        </w:rPr>
        <w:t>eórica</w:t>
      </w:r>
      <w:r w:rsidRPr="00DF1C39"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DF1C39">
        <w:rPr>
          <w:rFonts w:asciiTheme="minorHAnsi" w:hAnsiTheme="minorHAnsi"/>
          <w:b/>
          <w:sz w:val="24"/>
          <w:szCs w:val="24"/>
        </w:rPr>
        <w:t>:</w:t>
      </w:r>
    </w:p>
    <w:p w14:paraId="77637610" w14:textId="77777777" w:rsidR="007F40DE" w:rsidRPr="00DF1C39" w:rsidRDefault="00326638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1 </w:t>
      </w:r>
      <w:r w:rsidR="007F40DE" w:rsidRPr="00DF1C39">
        <w:rPr>
          <w:rFonts w:asciiTheme="minorHAnsi" w:hAnsiTheme="minorHAnsi"/>
          <w:sz w:val="24"/>
          <w:szCs w:val="24"/>
        </w:rPr>
        <w:t>–</w:t>
      </w:r>
      <w:r w:rsidRPr="00DF1C39">
        <w:rPr>
          <w:rFonts w:asciiTheme="minorHAnsi" w:hAnsiTheme="minorHAnsi"/>
          <w:sz w:val="24"/>
          <w:szCs w:val="24"/>
        </w:rPr>
        <w:t xml:space="preserve"> </w:t>
      </w:r>
      <w:r w:rsidR="007F40DE" w:rsidRPr="00DF1C39">
        <w:rPr>
          <w:rFonts w:asciiTheme="minorHAnsi" w:hAnsiTheme="minorHAnsi"/>
          <w:sz w:val="24"/>
          <w:szCs w:val="24"/>
        </w:rPr>
        <w:t xml:space="preserve">Apresentação da família </w:t>
      </w:r>
      <w:proofErr w:type="spellStart"/>
      <w:r w:rsidR="007F40DE" w:rsidRPr="00DF1C39">
        <w:rPr>
          <w:rFonts w:asciiTheme="minorHAnsi" w:hAnsiTheme="minorHAnsi"/>
          <w:sz w:val="24"/>
          <w:szCs w:val="24"/>
        </w:rPr>
        <w:t>Ceratopogonidae</w:t>
      </w:r>
      <w:proofErr w:type="spellEnd"/>
      <w:r w:rsidR="007F40DE" w:rsidRPr="00DF1C39">
        <w:rPr>
          <w:rFonts w:asciiTheme="minorHAnsi" w:hAnsiTheme="minorHAnsi"/>
          <w:sz w:val="24"/>
          <w:szCs w:val="24"/>
        </w:rPr>
        <w:t xml:space="preserve">. Principais gêneros. </w:t>
      </w:r>
      <w:proofErr w:type="spellStart"/>
      <w:r w:rsidR="007F40DE" w:rsidRPr="00DF1C39">
        <w:rPr>
          <w:rFonts w:asciiTheme="minorHAnsi" w:hAnsiTheme="minorHAnsi"/>
          <w:sz w:val="24"/>
          <w:szCs w:val="24"/>
        </w:rPr>
        <w:t>Bionomia</w:t>
      </w:r>
      <w:proofErr w:type="spellEnd"/>
      <w:r w:rsidR="007F40DE" w:rsidRPr="00DF1C39">
        <w:rPr>
          <w:rFonts w:asciiTheme="minorHAnsi" w:hAnsiTheme="minorHAnsi"/>
          <w:sz w:val="24"/>
          <w:szCs w:val="24"/>
        </w:rPr>
        <w:t xml:space="preserve">. </w:t>
      </w:r>
    </w:p>
    <w:p w14:paraId="3DB535DB" w14:textId="77777777" w:rsidR="007F40DE" w:rsidRPr="00DF1C39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2</w:t>
      </w:r>
      <w:r w:rsidR="0073366A" w:rsidRPr="00DF1C39">
        <w:rPr>
          <w:rFonts w:asciiTheme="minorHAnsi" w:hAnsiTheme="minorHAnsi"/>
          <w:sz w:val="24"/>
          <w:szCs w:val="24"/>
        </w:rPr>
        <w:t xml:space="preserve">– Conceitos relacionados a taxonomia e principais aspectos da taxonomia de </w:t>
      </w:r>
      <w:proofErr w:type="spellStart"/>
      <w:r w:rsidR="0073366A" w:rsidRPr="00DF1C39">
        <w:rPr>
          <w:rFonts w:asciiTheme="minorHAnsi" w:hAnsiTheme="minorHAnsi"/>
          <w:sz w:val="24"/>
          <w:szCs w:val="24"/>
        </w:rPr>
        <w:t>Ceratopogonidae</w:t>
      </w:r>
      <w:proofErr w:type="spellEnd"/>
      <w:r w:rsidR="0073366A" w:rsidRPr="00DF1C39">
        <w:rPr>
          <w:rFonts w:asciiTheme="minorHAnsi" w:hAnsiTheme="minorHAnsi"/>
          <w:sz w:val="24"/>
          <w:szCs w:val="24"/>
        </w:rPr>
        <w:t xml:space="preserve">. </w:t>
      </w:r>
    </w:p>
    <w:p w14:paraId="6BDFD7B7" w14:textId="77777777" w:rsidR="00326638" w:rsidRPr="00DF1C39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3</w:t>
      </w:r>
      <w:r w:rsidR="00326638" w:rsidRPr="00DF1C39">
        <w:rPr>
          <w:rFonts w:asciiTheme="minorHAnsi" w:hAnsiTheme="minorHAnsi"/>
          <w:sz w:val="24"/>
          <w:szCs w:val="24"/>
        </w:rPr>
        <w:t xml:space="preserve"> </w:t>
      </w:r>
      <w:r w:rsidR="003964ED" w:rsidRPr="00DF1C39">
        <w:rPr>
          <w:rFonts w:asciiTheme="minorHAnsi" w:hAnsiTheme="minorHAnsi"/>
          <w:sz w:val="24"/>
          <w:szCs w:val="24"/>
        </w:rPr>
        <w:t>–</w:t>
      </w:r>
      <w:r w:rsidR="00326638" w:rsidRPr="00DF1C39">
        <w:rPr>
          <w:rFonts w:asciiTheme="minorHAnsi" w:hAnsiTheme="minorHAnsi"/>
          <w:sz w:val="24"/>
          <w:szCs w:val="24"/>
        </w:rPr>
        <w:t xml:space="preserve"> </w:t>
      </w:r>
      <w:r w:rsidR="0073366A" w:rsidRPr="00DF1C39">
        <w:rPr>
          <w:rFonts w:asciiTheme="minorHAnsi" w:hAnsiTheme="minorHAnsi"/>
          <w:sz w:val="24"/>
          <w:szCs w:val="24"/>
        </w:rPr>
        <w:t xml:space="preserve">Apresentação do gênero </w:t>
      </w:r>
      <w:proofErr w:type="spellStart"/>
      <w:r w:rsidR="0073366A" w:rsidRPr="00DF1C39">
        <w:rPr>
          <w:rFonts w:asciiTheme="minorHAnsi" w:hAnsiTheme="minorHAnsi"/>
          <w:i/>
          <w:sz w:val="24"/>
          <w:szCs w:val="24"/>
        </w:rPr>
        <w:t>Culicoides</w:t>
      </w:r>
      <w:proofErr w:type="spellEnd"/>
      <w:r w:rsidR="0073366A" w:rsidRPr="00DF1C39">
        <w:rPr>
          <w:rFonts w:asciiTheme="minorHAnsi" w:hAnsiTheme="minorHAnsi"/>
          <w:sz w:val="24"/>
          <w:szCs w:val="24"/>
        </w:rPr>
        <w:t xml:space="preserve"> e sua importância sanitária. </w:t>
      </w:r>
    </w:p>
    <w:p w14:paraId="545C4D49" w14:textId="487AC920" w:rsidR="00326638" w:rsidRPr="00DF1C39" w:rsidRDefault="0073366A" w:rsidP="000A0215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4 – Técnicas de montagem. Estruturas utilizadas na identificação de </w:t>
      </w:r>
      <w:proofErr w:type="spellStart"/>
      <w:r w:rsidRPr="00DF1C39">
        <w:rPr>
          <w:rFonts w:asciiTheme="minorHAnsi" w:hAnsiTheme="minorHAnsi"/>
          <w:i/>
          <w:sz w:val="24"/>
          <w:szCs w:val="24"/>
        </w:rPr>
        <w:t>Culicoides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. </w:t>
      </w:r>
    </w:p>
    <w:p w14:paraId="7632C6A1" w14:textId="34A7A24A" w:rsidR="00135A0B" w:rsidRPr="00DF1C39" w:rsidRDefault="00135A0B" w:rsidP="000A0215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lastRenderedPageBreak/>
        <w:t xml:space="preserve">5- </w:t>
      </w:r>
      <w:r w:rsidR="00EB2BC5" w:rsidRPr="00DF1C39">
        <w:rPr>
          <w:rFonts w:asciiTheme="minorHAnsi" w:hAnsiTheme="minorHAnsi"/>
          <w:sz w:val="24"/>
          <w:szCs w:val="24"/>
        </w:rPr>
        <w:t>Apresentação do</w:t>
      </w:r>
      <w:r w:rsidRPr="00DF1C39">
        <w:rPr>
          <w:rFonts w:asciiTheme="minorHAnsi" w:hAnsiTheme="minorHAnsi"/>
          <w:sz w:val="24"/>
          <w:szCs w:val="24"/>
        </w:rPr>
        <w:t xml:space="preserve"> passo a passo da biossegurança e da manutenção de qualidade relacionados as atividades laboratoriais executadas.</w:t>
      </w:r>
    </w:p>
    <w:p w14:paraId="1A724FBD" w14:textId="77777777" w:rsidR="00135A0B" w:rsidRPr="00DF1C39" w:rsidRDefault="00135A0B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740DD15E" w14:textId="77777777" w:rsidR="00326638" w:rsidRPr="00DF1C39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F1C39">
        <w:rPr>
          <w:rFonts w:asciiTheme="minorHAnsi" w:hAnsiTheme="minorHAnsi"/>
          <w:b/>
          <w:sz w:val="24"/>
          <w:szCs w:val="24"/>
        </w:rPr>
        <w:t>A</w:t>
      </w:r>
      <w:r w:rsidR="005A7091" w:rsidRPr="00DF1C39">
        <w:rPr>
          <w:rFonts w:asciiTheme="minorHAnsi" w:hAnsiTheme="minorHAnsi"/>
          <w:b/>
          <w:sz w:val="24"/>
          <w:szCs w:val="24"/>
        </w:rPr>
        <w:t>tividades práticas</w:t>
      </w:r>
      <w:r w:rsidR="00594BC7" w:rsidRPr="00DF1C39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DF1C39">
        <w:rPr>
          <w:rFonts w:asciiTheme="minorHAnsi" w:hAnsiTheme="minorHAnsi"/>
          <w:b/>
          <w:sz w:val="24"/>
          <w:szCs w:val="24"/>
        </w:rPr>
        <w:t>:</w:t>
      </w:r>
    </w:p>
    <w:p w14:paraId="5125F9E9" w14:textId="77777777" w:rsidR="005A7091" w:rsidRPr="00DF1C39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8F135BD" w14:textId="77777777" w:rsidR="003964ED" w:rsidRPr="00DF1C39" w:rsidRDefault="00326638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1 </w:t>
      </w:r>
      <w:r w:rsidR="0073366A" w:rsidRPr="00DF1C39">
        <w:rPr>
          <w:rFonts w:asciiTheme="minorHAnsi" w:hAnsiTheme="minorHAnsi"/>
          <w:sz w:val="24"/>
          <w:szCs w:val="24"/>
        </w:rPr>
        <w:t>–</w:t>
      </w:r>
      <w:r w:rsidRPr="00DF1C39">
        <w:rPr>
          <w:rFonts w:asciiTheme="minorHAnsi" w:hAnsiTheme="minorHAnsi"/>
          <w:sz w:val="24"/>
          <w:szCs w:val="24"/>
        </w:rPr>
        <w:t xml:space="preserve"> </w:t>
      </w:r>
      <w:r w:rsidR="0073366A" w:rsidRPr="00DF1C39">
        <w:rPr>
          <w:rFonts w:asciiTheme="minorHAnsi" w:hAnsiTheme="minorHAnsi"/>
          <w:sz w:val="24"/>
          <w:szCs w:val="24"/>
        </w:rPr>
        <w:t xml:space="preserve">Triagem de material – reconhecimento dos </w:t>
      </w:r>
      <w:proofErr w:type="spellStart"/>
      <w:r w:rsidR="0073366A" w:rsidRPr="00DF1C39">
        <w:rPr>
          <w:rFonts w:asciiTheme="minorHAnsi" w:hAnsiTheme="minorHAnsi"/>
          <w:sz w:val="24"/>
          <w:szCs w:val="24"/>
        </w:rPr>
        <w:t>ceratopogonídeos</w:t>
      </w:r>
      <w:proofErr w:type="spellEnd"/>
      <w:r w:rsidR="0073366A" w:rsidRPr="00DF1C39">
        <w:rPr>
          <w:rFonts w:asciiTheme="minorHAnsi" w:hAnsiTheme="minorHAnsi"/>
          <w:sz w:val="24"/>
          <w:szCs w:val="24"/>
        </w:rPr>
        <w:t xml:space="preserve">. </w:t>
      </w:r>
    </w:p>
    <w:p w14:paraId="18A76230" w14:textId="77777777" w:rsidR="0073366A" w:rsidRPr="00DF1C39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2</w:t>
      </w:r>
      <w:r w:rsidR="0073366A" w:rsidRPr="00DF1C39">
        <w:rPr>
          <w:rFonts w:asciiTheme="minorHAnsi" w:hAnsiTheme="minorHAnsi"/>
          <w:sz w:val="24"/>
          <w:szCs w:val="24"/>
        </w:rPr>
        <w:t xml:space="preserve"> – Triagem de material – reconhecimento dos gêneros da família </w:t>
      </w:r>
      <w:proofErr w:type="spellStart"/>
      <w:r w:rsidR="0073366A" w:rsidRPr="00DF1C39">
        <w:rPr>
          <w:rFonts w:asciiTheme="minorHAnsi" w:hAnsiTheme="minorHAnsi"/>
          <w:sz w:val="24"/>
          <w:szCs w:val="24"/>
        </w:rPr>
        <w:t>Ceratopogonidae</w:t>
      </w:r>
      <w:proofErr w:type="spellEnd"/>
      <w:r w:rsidR="0073366A" w:rsidRPr="00DF1C39">
        <w:rPr>
          <w:rFonts w:asciiTheme="minorHAnsi" w:hAnsiTheme="minorHAnsi"/>
          <w:sz w:val="24"/>
          <w:szCs w:val="24"/>
        </w:rPr>
        <w:t>.</w:t>
      </w:r>
    </w:p>
    <w:p w14:paraId="686E8CB3" w14:textId="77777777" w:rsidR="00BB45FC" w:rsidRPr="00DF1C39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3</w:t>
      </w:r>
      <w:r w:rsidR="0073366A" w:rsidRPr="00DF1C39">
        <w:rPr>
          <w:rFonts w:asciiTheme="minorHAnsi" w:hAnsiTheme="minorHAnsi"/>
          <w:sz w:val="24"/>
          <w:szCs w:val="24"/>
        </w:rPr>
        <w:t xml:space="preserve"> – Montagem de exemplares em lâminas permanentes.</w:t>
      </w:r>
    </w:p>
    <w:p w14:paraId="741890E1" w14:textId="77777777" w:rsidR="00326638" w:rsidRPr="00DF1C39" w:rsidRDefault="003964ED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4</w:t>
      </w:r>
      <w:r w:rsidR="0073366A" w:rsidRPr="00DF1C39">
        <w:rPr>
          <w:rFonts w:asciiTheme="minorHAnsi" w:hAnsiTheme="minorHAnsi"/>
          <w:sz w:val="24"/>
          <w:szCs w:val="24"/>
        </w:rPr>
        <w:t xml:space="preserve"> – Confecção de medidas dos exemplares montados. </w:t>
      </w:r>
    </w:p>
    <w:p w14:paraId="6D7B107B" w14:textId="77777777" w:rsidR="00326638" w:rsidRPr="00DF1C39" w:rsidRDefault="003964ED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>5</w:t>
      </w:r>
      <w:r w:rsidR="00326638" w:rsidRPr="00DF1C39">
        <w:rPr>
          <w:rFonts w:asciiTheme="minorHAnsi" w:hAnsiTheme="minorHAnsi"/>
          <w:sz w:val="24"/>
          <w:szCs w:val="24"/>
        </w:rPr>
        <w:t xml:space="preserve"> </w:t>
      </w:r>
      <w:r w:rsidR="0073366A" w:rsidRPr="00DF1C39">
        <w:rPr>
          <w:rFonts w:asciiTheme="minorHAnsi" w:hAnsiTheme="minorHAnsi"/>
          <w:sz w:val="24"/>
          <w:szCs w:val="24"/>
        </w:rPr>
        <w:t xml:space="preserve">– Confecção de desenhos dos exemplares montados. </w:t>
      </w:r>
    </w:p>
    <w:p w14:paraId="25342B8E" w14:textId="77777777" w:rsidR="0073366A" w:rsidRPr="00DF1C39" w:rsidRDefault="0073366A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6 – Utilização de chaves dicotômicas de identificação. </w:t>
      </w:r>
    </w:p>
    <w:p w14:paraId="5D77BD94" w14:textId="1ED1EB0B" w:rsidR="00255152" w:rsidRPr="00DF1C39" w:rsidRDefault="0073366A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7 – </w:t>
      </w:r>
      <w:r w:rsidR="00135A0B" w:rsidRPr="00DF1C39">
        <w:rPr>
          <w:rFonts w:asciiTheme="minorHAnsi" w:hAnsiTheme="minorHAnsi"/>
          <w:sz w:val="24"/>
          <w:szCs w:val="24"/>
        </w:rPr>
        <w:t>Identificação</w:t>
      </w:r>
      <w:r w:rsidRPr="00DF1C39">
        <w:rPr>
          <w:rFonts w:asciiTheme="minorHAnsi" w:hAnsiTheme="minorHAnsi"/>
          <w:sz w:val="24"/>
          <w:szCs w:val="24"/>
        </w:rPr>
        <w:t xml:space="preserve"> dos exemplares montados. </w:t>
      </w:r>
    </w:p>
    <w:p w14:paraId="55B0AC2F" w14:textId="77777777" w:rsidR="00BB45FC" w:rsidRPr="00DF1C39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5CA639C" w14:textId="77777777" w:rsidR="00BB45FC" w:rsidRPr="00DF1C39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F1C39">
        <w:rPr>
          <w:rFonts w:asciiTheme="minorHAnsi" w:hAnsiTheme="minorHAnsi"/>
          <w:b/>
          <w:sz w:val="24"/>
          <w:szCs w:val="24"/>
        </w:rPr>
        <w:t xml:space="preserve">Avaliação </w:t>
      </w:r>
    </w:p>
    <w:p w14:paraId="705C3E05" w14:textId="77777777" w:rsidR="00326638" w:rsidRPr="00DF1C39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</w:rPr>
        <w:t xml:space="preserve">A avaliação da disciplina compreenderá um relatório </w:t>
      </w:r>
      <w:r w:rsidR="005A7091" w:rsidRPr="00DF1C39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 w:rsidRPr="00DF1C39">
        <w:rPr>
          <w:rFonts w:asciiTheme="minorHAnsi" w:hAnsiTheme="minorHAnsi"/>
          <w:sz w:val="24"/>
          <w:szCs w:val="24"/>
        </w:rPr>
        <w:t>contendo um resumo de todo o conteúdo teórico e prát</w:t>
      </w:r>
      <w:r w:rsidR="004A5E35" w:rsidRPr="00DF1C39">
        <w:rPr>
          <w:rFonts w:asciiTheme="minorHAnsi" w:hAnsiTheme="minorHAnsi"/>
          <w:sz w:val="24"/>
          <w:szCs w:val="24"/>
        </w:rPr>
        <w:t xml:space="preserve">ico apreendido durante o curso. </w:t>
      </w:r>
      <w:r w:rsidR="00056B6B" w:rsidRPr="00DF1C39">
        <w:rPr>
          <w:rFonts w:asciiTheme="minorHAnsi" w:hAnsiTheme="minorHAnsi"/>
          <w:sz w:val="24"/>
          <w:szCs w:val="24"/>
        </w:rPr>
        <w:t xml:space="preserve">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 w:rsidRPr="00DF1C39">
        <w:rPr>
          <w:rFonts w:asciiTheme="minorHAnsi" w:hAnsiTheme="minorHAnsi"/>
          <w:sz w:val="24"/>
          <w:szCs w:val="24"/>
        </w:rPr>
        <w:t xml:space="preserve">durante </w:t>
      </w:r>
      <w:r w:rsidR="00056B6B" w:rsidRPr="00DF1C39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 w:rsidRPr="00DF1C39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 w:rsidRPr="00DF1C39">
        <w:rPr>
          <w:rFonts w:asciiTheme="minorHAnsi" w:hAnsiTheme="minorHAnsi"/>
          <w:sz w:val="24"/>
          <w:szCs w:val="24"/>
        </w:rPr>
        <w:t xml:space="preserve"> </w:t>
      </w:r>
    </w:p>
    <w:p w14:paraId="1DC44AD1" w14:textId="77777777" w:rsidR="00326638" w:rsidRPr="00DF1C39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0E76F74A" w14:textId="77777777" w:rsidR="00326638" w:rsidRPr="00DF1C39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DF1C39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14:paraId="04F990AD" w14:textId="77777777" w:rsidR="0073366A" w:rsidRPr="00DF1C39" w:rsidRDefault="0073366A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752FF890" w14:textId="77777777" w:rsidR="0073366A" w:rsidRPr="00DF1C39" w:rsidRDefault="00175708" w:rsidP="001318EC">
      <w:pPr>
        <w:pStyle w:val="SemEspaamento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hyperlink r:id="rId5" w:history="1">
        <w:r w:rsidR="004A5E35" w:rsidRPr="00DF1C39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http://www.inbio.ac.cr/papers/Ceratopogonidae/</w:t>
        </w:r>
      </w:hyperlink>
    </w:p>
    <w:p w14:paraId="4C5FA399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F1C39">
        <w:rPr>
          <w:rFonts w:asciiTheme="minorHAnsi" w:hAnsiTheme="minorHAnsi"/>
          <w:sz w:val="24"/>
          <w:szCs w:val="24"/>
        </w:rPr>
        <w:t>Borkent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, A. (2004) </w:t>
      </w:r>
      <w:proofErr w:type="spellStart"/>
      <w:r w:rsidRPr="00DF1C39">
        <w:rPr>
          <w:rFonts w:asciiTheme="minorHAnsi" w:hAnsiTheme="minorHAnsi"/>
          <w:sz w:val="24"/>
          <w:szCs w:val="24"/>
        </w:rPr>
        <w:t>Insecta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DF1C39">
        <w:rPr>
          <w:rFonts w:asciiTheme="minorHAnsi" w:hAnsiTheme="minorHAnsi"/>
          <w:sz w:val="24"/>
          <w:szCs w:val="24"/>
        </w:rPr>
        <w:t>Diptera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F1C39">
        <w:rPr>
          <w:rFonts w:asciiTheme="minorHAnsi" w:hAnsiTheme="minorHAnsi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. </w:t>
      </w:r>
      <w:r w:rsidRPr="00DF1C39">
        <w:rPr>
          <w:rFonts w:asciiTheme="minorHAnsi" w:hAnsiTheme="minorHAnsi"/>
          <w:i/>
          <w:sz w:val="24"/>
          <w:szCs w:val="24"/>
          <w:lang w:val="en-US"/>
        </w:rPr>
        <w:t>In</w:t>
      </w:r>
      <w:r w:rsidRPr="00DF1C39">
        <w:rPr>
          <w:rFonts w:asciiTheme="minorHAnsi" w:hAnsiTheme="minorHAnsi"/>
          <w:sz w:val="24"/>
          <w:szCs w:val="24"/>
          <w:lang w:val="en-US"/>
        </w:rPr>
        <w:t xml:space="preserve">: Yule, C.M. &amp; Yong, H.S. (Eds.) </w:t>
      </w:r>
      <w:r w:rsidRPr="00DF1C39">
        <w:rPr>
          <w:rFonts w:asciiTheme="minorHAnsi" w:hAnsiTheme="minorHAnsi"/>
          <w:i/>
          <w:sz w:val="24"/>
          <w:szCs w:val="24"/>
          <w:lang w:val="en-US"/>
        </w:rPr>
        <w:t>Freshwater Invertebrates of the Malaysian Region</w:t>
      </w:r>
      <w:r w:rsidRPr="00DF1C39">
        <w:rPr>
          <w:rFonts w:asciiTheme="minorHAnsi" w:hAnsiTheme="minorHAnsi"/>
          <w:sz w:val="24"/>
          <w:szCs w:val="24"/>
          <w:lang w:val="en-US"/>
        </w:rPr>
        <w:t xml:space="preserve">, Academy of Sciences Malaysia, 683-710.  </w:t>
      </w:r>
    </w:p>
    <w:p w14:paraId="0C140505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F1C39">
        <w:rPr>
          <w:rFonts w:asciiTheme="minorHAnsi" w:hAnsiTheme="minorHAnsi"/>
          <w:sz w:val="24"/>
          <w:szCs w:val="24"/>
        </w:rPr>
        <w:t>Borkent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, A. &amp; Spinelli, G.R. (2007) Neotropical </w:t>
      </w:r>
      <w:proofErr w:type="spellStart"/>
      <w:r w:rsidRPr="00DF1C39">
        <w:rPr>
          <w:rFonts w:asciiTheme="minorHAnsi" w:hAnsiTheme="minorHAnsi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DF1C39">
        <w:rPr>
          <w:rFonts w:asciiTheme="minorHAnsi" w:hAnsiTheme="minorHAnsi"/>
          <w:sz w:val="24"/>
          <w:szCs w:val="24"/>
        </w:rPr>
        <w:t>Diptera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DF1C39">
        <w:rPr>
          <w:rFonts w:asciiTheme="minorHAnsi" w:hAnsiTheme="minorHAnsi"/>
          <w:sz w:val="24"/>
          <w:szCs w:val="24"/>
        </w:rPr>
        <w:t>Insecta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). </w:t>
      </w:r>
      <w:r w:rsidRPr="00DF1C39">
        <w:rPr>
          <w:rFonts w:asciiTheme="minorHAnsi" w:hAnsiTheme="minorHAnsi"/>
          <w:i/>
          <w:sz w:val="24"/>
          <w:szCs w:val="24"/>
        </w:rPr>
        <w:t>In</w:t>
      </w:r>
      <w:r w:rsidRPr="00DF1C39">
        <w:rPr>
          <w:rFonts w:asciiTheme="minorHAnsi" w:hAnsiTheme="minorHAnsi"/>
          <w:sz w:val="24"/>
          <w:szCs w:val="24"/>
        </w:rPr>
        <w:t xml:space="preserve">: Adis, J., Arias, J.R, Rueda-Delgado, G., </w:t>
      </w:r>
      <w:proofErr w:type="spellStart"/>
      <w:r w:rsidRPr="00DF1C39">
        <w:rPr>
          <w:rFonts w:asciiTheme="minorHAnsi" w:hAnsiTheme="minorHAnsi"/>
          <w:sz w:val="24"/>
          <w:szCs w:val="24"/>
        </w:rPr>
        <w:t>Wnatzen</w:t>
      </w:r>
      <w:proofErr w:type="spellEnd"/>
      <w:r w:rsidRPr="00DF1C39">
        <w:rPr>
          <w:rFonts w:asciiTheme="minorHAnsi" w:hAnsiTheme="minorHAnsi"/>
          <w:sz w:val="24"/>
          <w:szCs w:val="24"/>
        </w:rPr>
        <w:t xml:space="preserve">, K.M. (Eds.).  </w:t>
      </w:r>
      <w:r w:rsidRPr="00DF1C39">
        <w:rPr>
          <w:rFonts w:asciiTheme="minorHAnsi" w:hAnsiTheme="minorHAnsi"/>
          <w:i/>
          <w:sz w:val="24"/>
          <w:szCs w:val="24"/>
          <w:lang w:val="en-US"/>
        </w:rPr>
        <w:t xml:space="preserve">Aquatic Biodiversity in Latin America (ABLA), </w:t>
      </w:r>
      <w:proofErr w:type="spellStart"/>
      <w:r w:rsidRPr="00DF1C39">
        <w:rPr>
          <w:rFonts w:asciiTheme="minorHAnsi" w:hAnsiTheme="minorHAnsi"/>
          <w:sz w:val="24"/>
          <w:szCs w:val="24"/>
          <w:lang w:val="en-US"/>
        </w:rPr>
        <w:t>Pensoft</w:t>
      </w:r>
      <w:proofErr w:type="spellEnd"/>
      <w:r w:rsidRPr="00DF1C39">
        <w:rPr>
          <w:rFonts w:asciiTheme="minorHAnsi" w:hAnsiTheme="minorHAnsi"/>
          <w:sz w:val="24"/>
          <w:szCs w:val="24"/>
          <w:lang w:val="en-US"/>
        </w:rPr>
        <w:t>, Sofia-Moscow, Vol. 4, 198 p.</w:t>
      </w:r>
    </w:p>
    <w:p w14:paraId="77113B86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F1C39">
        <w:rPr>
          <w:rFonts w:asciiTheme="minorHAnsi" w:hAnsiTheme="minorHAnsi"/>
          <w:sz w:val="24"/>
          <w:szCs w:val="24"/>
          <w:lang w:val="en-US"/>
        </w:rPr>
        <w:t xml:space="preserve">Linley, J.R., Hoch, A.L., </w:t>
      </w:r>
      <w:proofErr w:type="spellStart"/>
      <w:r w:rsidRPr="00DF1C39">
        <w:rPr>
          <w:rFonts w:asciiTheme="minorHAnsi" w:hAnsiTheme="minorHAnsi"/>
          <w:sz w:val="24"/>
          <w:szCs w:val="24"/>
          <w:lang w:val="en-US"/>
        </w:rPr>
        <w:t>Pinheiro</w:t>
      </w:r>
      <w:proofErr w:type="spellEnd"/>
      <w:r w:rsidRPr="00DF1C39">
        <w:rPr>
          <w:rFonts w:asciiTheme="minorHAnsi" w:hAnsiTheme="minorHAnsi"/>
          <w:sz w:val="24"/>
          <w:szCs w:val="24"/>
          <w:lang w:val="en-US"/>
        </w:rPr>
        <w:t xml:space="preserve">, F.P. (1983) Biting midges and human health. </w:t>
      </w:r>
      <w:proofErr w:type="spellStart"/>
      <w:r w:rsidRPr="00DF1C39">
        <w:rPr>
          <w:rFonts w:asciiTheme="minorHAnsi" w:hAnsiTheme="minorHAnsi"/>
          <w:i/>
          <w:sz w:val="24"/>
          <w:szCs w:val="24"/>
        </w:rPr>
        <w:t>Journal</w:t>
      </w:r>
      <w:proofErr w:type="spellEnd"/>
      <w:r w:rsidRPr="00DF1C3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F1C39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F1C39">
        <w:rPr>
          <w:rFonts w:asciiTheme="minorHAnsi" w:hAnsiTheme="minorHAnsi"/>
          <w:i/>
          <w:sz w:val="24"/>
          <w:szCs w:val="24"/>
        </w:rPr>
        <w:t xml:space="preserve"> Medical </w:t>
      </w:r>
      <w:proofErr w:type="spellStart"/>
      <w:r w:rsidRPr="00DF1C39">
        <w:rPr>
          <w:rFonts w:asciiTheme="minorHAnsi" w:hAnsiTheme="minorHAnsi"/>
          <w:i/>
          <w:sz w:val="24"/>
          <w:szCs w:val="24"/>
        </w:rPr>
        <w:t>Entomology</w:t>
      </w:r>
      <w:proofErr w:type="spellEnd"/>
      <w:r w:rsidRPr="00DF1C39">
        <w:rPr>
          <w:rFonts w:asciiTheme="minorHAnsi" w:hAnsiTheme="minorHAnsi"/>
          <w:i/>
          <w:sz w:val="24"/>
          <w:szCs w:val="24"/>
        </w:rPr>
        <w:t>,</w:t>
      </w:r>
      <w:r w:rsidRPr="00DF1C39">
        <w:rPr>
          <w:rFonts w:asciiTheme="minorHAnsi" w:hAnsiTheme="minorHAnsi"/>
          <w:sz w:val="24"/>
          <w:szCs w:val="24"/>
        </w:rPr>
        <w:t xml:space="preserve"> 20(4), 347-364. </w:t>
      </w:r>
    </w:p>
    <w:p w14:paraId="6B25720C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Style w:val="nlmlpage"/>
          <w:rFonts w:asciiTheme="minorHAnsi" w:hAnsiTheme="minorHAnsi"/>
          <w:sz w:val="24"/>
          <w:szCs w:val="24"/>
          <w:shd w:val="clear" w:color="auto" w:fill="FFFFFF"/>
          <w:lang w:val="en-US"/>
        </w:rPr>
      </w:pPr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Mellor, P.S., </w:t>
      </w:r>
      <w:proofErr w:type="spellStart"/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>Boorman</w:t>
      </w:r>
      <w:proofErr w:type="spellEnd"/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>Baylis</w:t>
      </w:r>
      <w:proofErr w:type="spellEnd"/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, M. (2000) </w:t>
      </w:r>
      <w:proofErr w:type="spellStart"/>
      <w:r w:rsidRPr="00DF1C39">
        <w:rPr>
          <w:rStyle w:val="nlmarticle-title"/>
          <w:rFonts w:asciiTheme="minorHAnsi" w:hAnsiTheme="minorHAnsi"/>
          <w:i/>
          <w:iCs/>
          <w:sz w:val="24"/>
          <w:szCs w:val="24"/>
          <w:shd w:val="clear" w:color="auto" w:fill="FFFFFF"/>
          <w:lang w:val="en-US"/>
        </w:rPr>
        <w:t>Culicoides</w:t>
      </w:r>
      <w:proofErr w:type="spellEnd"/>
      <w:r w:rsidRPr="00DF1C39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US"/>
        </w:rPr>
        <w:t> </w:t>
      </w:r>
      <w:r w:rsidRPr="00DF1C39">
        <w:rPr>
          <w:rStyle w:val="nlmarticle-title"/>
          <w:rFonts w:asciiTheme="minorHAnsi" w:hAnsiTheme="minorHAnsi"/>
          <w:sz w:val="24"/>
          <w:szCs w:val="24"/>
          <w:shd w:val="clear" w:color="auto" w:fill="FFFFFF"/>
          <w:lang w:val="en-US"/>
        </w:rPr>
        <w:t>biting midges their role as arbovirus vectors.</w:t>
      </w:r>
      <w:r w:rsidRPr="00DF1C39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US"/>
        </w:rPr>
        <w:t> </w:t>
      </w:r>
      <w:r w:rsidRPr="00DF1C39">
        <w:rPr>
          <w:rStyle w:val="apple-style-span"/>
          <w:rFonts w:asciiTheme="minorHAnsi" w:hAnsiTheme="minorHAnsi"/>
          <w:i/>
          <w:sz w:val="24"/>
          <w:szCs w:val="24"/>
          <w:shd w:val="clear" w:color="auto" w:fill="FFFFFF"/>
          <w:lang w:val="en-US"/>
        </w:rPr>
        <w:t>Annual Review of Entomology</w:t>
      </w:r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, 45, </w:t>
      </w:r>
      <w:r w:rsidRPr="00DF1C39">
        <w:rPr>
          <w:rStyle w:val="nlmfpage"/>
          <w:rFonts w:asciiTheme="minorHAnsi" w:hAnsiTheme="minorHAnsi"/>
          <w:sz w:val="24"/>
          <w:szCs w:val="24"/>
          <w:shd w:val="clear" w:color="auto" w:fill="FFFFFF"/>
          <w:lang w:val="en-US"/>
        </w:rPr>
        <w:t>307</w:t>
      </w:r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>–</w:t>
      </w:r>
      <w:r w:rsidRPr="00DF1C39">
        <w:rPr>
          <w:rStyle w:val="nlmlpage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340. </w:t>
      </w:r>
    </w:p>
    <w:p w14:paraId="169525A1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DF1C39">
        <w:rPr>
          <w:rFonts w:asciiTheme="minorHAnsi" w:hAnsiTheme="minorHAnsi"/>
          <w:bCs/>
          <w:sz w:val="24"/>
          <w:szCs w:val="24"/>
          <w:lang w:val="en-US"/>
        </w:rPr>
        <w:t xml:space="preserve">Walton, T.E. (2004) </w:t>
      </w:r>
      <w:proofErr w:type="gramStart"/>
      <w:r w:rsidRPr="00DF1C39">
        <w:rPr>
          <w:rFonts w:asciiTheme="minorHAnsi" w:hAnsiTheme="minorHAnsi"/>
          <w:bCs/>
          <w:sz w:val="24"/>
          <w:szCs w:val="24"/>
          <w:lang w:val="en-US"/>
        </w:rPr>
        <w:t>The</w:t>
      </w:r>
      <w:proofErr w:type="gramEnd"/>
      <w:r w:rsidRPr="00DF1C39">
        <w:rPr>
          <w:rFonts w:asciiTheme="minorHAnsi" w:hAnsiTheme="minorHAnsi"/>
          <w:bCs/>
          <w:sz w:val="24"/>
          <w:szCs w:val="24"/>
          <w:lang w:val="en-US"/>
        </w:rPr>
        <w:t xml:space="preserve"> history of bluetongue and a current global overview. </w:t>
      </w:r>
      <w:proofErr w:type="spellStart"/>
      <w:r w:rsidRPr="00DF1C39">
        <w:rPr>
          <w:rFonts w:asciiTheme="minorHAnsi" w:hAnsiTheme="minorHAnsi"/>
          <w:bCs/>
          <w:i/>
          <w:sz w:val="24"/>
          <w:szCs w:val="24"/>
          <w:lang w:val="en-US"/>
        </w:rPr>
        <w:t>Veterinaria</w:t>
      </w:r>
      <w:proofErr w:type="spellEnd"/>
      <w:r w:rsidRPr="00DF1C39">
        <w:rPr>
          <w:rFonts w:asciiTheme="minorHAnsi" w:hAnsi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DF1C39">
        <w:rPr>
          <w:rFonts w:asciiTheme="minorHAnsi" w:hAnsiTheme="minorHAnsi"/>
          <w:bCs/>
          <w:i/>
          <w:sz w:val="24"/>
          <w:szCs w:val="24"/>
          <w:lang w:val="en-US"/>
        </w:rPr>
        <w:t>Italiana</w:t>
      </w:r>
      <w:proofErr w:type="spellEnd"/>
      <w:r w:rsidRPr="00DF1C39">
        <w:rPr>
          <w:rFonts w:asciiTheme="minorHAnsi" w:hAnsiTheme="minorHAnsi"/>
          <w:bCs/>
          <w:sz w:val="24"/>
          <w:szCs w:val="24"/>
          <w:lang w:val="en-US"/>
        </w:rPr>
        <w:t xml:space="preserve">, 40 (3), 31-38. </w:t>
      </w:r>
    </w:p>
    <w:p w14:paraId="72D16149" w14:textId="77777777" w:rsidR="004A5E35" w:rsidRPr="00DF1C39" w:rsidRDefault="004A5E35" w:rsidP="004A5E35">
      <w:pPr>
        <w:pStyle w:val="Ttulo1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b w:val="0"/>
          <w:sz w:val="24"/>
          <w:szCs w:val="24"/>
        </w:rPr>
      </w:pPr>
      <w:r w:rsidRPr="00DF1C39">
        <w:rPr>
          <w:rFonts w:asciiTheme="minorHAnsi" w:hAnsiTheme="minorHAnsi"/>
          <w:b w:val="0"/>
          <w:sz w:val="24"/>
          <w:szCs w:val="24"/>
        </w:rPr>
        <w:t xml:space="preserve">Wirth, W.W. &amp; Cavalieri, F. (1977) </w:t>
      </w:r>
      <w:proofErr w:type="spellStart"/>
      <w:r w:rsidRPr="00DF1C39">
        <w:rPr>
          <w:rFonts w:asciiTheme="minorHAnsi" w:hAnsiTheme="minorHAnsi"/>
          <w:b w:val="0"/>
          <w:sz w:val="24"/>
          <w:szCs w:val="24"/>
        </w:rPr>
        <w:t>Ceratopogonidae</w:t>
      </w:r>
      <w:proofErr w:type="spellEnd"/>
      <w:r w:rsidRPr="00DF1C39">
        <w:rPr>
          <w:rFonts w:asciiTheme="minorHAnsi" w:hAnsiTheme="minorHAnsi"/>
          <w:b w:val="0"/>
          <w:sz w:val="24"/>
          <w:szCs w:val="24"/>
        </w:rPr>
        <w:t xml:space="preserve">. </w:t>
      </w:r>
      <w:r w:rsidRPr="00DF1C39">
        <w:rPr>
          <w:rFonts w:asciiTheme="minorHAnsi" w:hAnsiTheme="minorHAnsi"/>
          <w:b w:val="0"/>
          <w:i/>
          <w:sz w:val="24"/>
          <w:szCs w:val="24"/>
        </w:rPr>
        <w:t>In</w:t>
      </w:r>
      <w:r w:rsidRPr="00DF1C39">
        <w:rPr>
          <w:rFonts w:asciiTheme="minorHAnsi" w:hAnsiTheme="minorHAnsi"/>
          <w:b w:val="0"/>
          <w:sz w:val="24"/>
          <w:szCs w:val="24"/>
        </w:rPr>
        <w:t xml:space="preserve">: </w:t>
      </w:r>
      <w:proofErr w:type="spellStart"/>
      <w:r w:rsidRPr="00DF1C39">
        <w:rPr>
          <w:rFonts w:asciiTheme="minorHAnsi" w:hAnsiTheme="minorHAnsi"/>
          <w:b w:val="0"/>
          <w:sz w:val="24"/>
          <w:szCs w:val="24"/>
        </w:rPr>
        <w:t>Hurlbert</w:t>
      </w:r>
      <w:proofErr w:type="spellEnd"/>
      <w:r w:rsidRPr="00DF1C39">
        <w:rPr>
          <w:rFonts w:asciiTheme="minorHAnsi" w:hAnsiTheme="minorHAnsi"/>
          <w:b w:val="0"/>
          <w:sz w:val="24"/>
          <w:szCs w:val="24"/>
        </w:rPr>
        <w:t xml:space="preserve">, S.H. </w:t>
      </w:r>
      <w:r w:rsidRPr="00DF1C39">
        <w:rPr>
          <w:rFonts w:asciiTheme="minorHAnsi" w:hAnsiTheme="minorHAnsi"/>
          <w:b w:val="0"/>
          <w:i/>
          <w:sz w:val="24"/>
          <w:szCs w:val="24"/>
        </w:rPr>
        <w:t xml:space="preserve">Biota </w:t>
      </w:r>
      <w:proofErr w:type="spellStart"/>
      <w:r w:rsidRPr="00DF1C39">
        <w:rPr>
          <w:rFonts w:asciiTheme="minorHAnsi" w:hAnsiTheme="minorHAnsi"/>
          <w:b w:val="0"/>
          <w:i/>
          <w:sz w:val="24"/>
          <w:szCs w:val="24"/>
        </w:rPr>
        <w:t>acuática</w:t>
      </w:r>
      <w:proofErr w:type="spellEnd"/>
      <w:r w:rsidRPr="00DF1C39">
        <w:rPr>
          <w:rFonts w:asciiTheme="minorHAnsi" w:hAnsiTheme="minorHAnsi"/>
          <w:b w:val="0"/>
          <w:i/>
          <w:sz w:val="24"/>
          <w:szCs w:val="24"/>
        </w:rPr>
        <w:t xml:space="preserve"> de </w:t>
      </w:r>
      <w:proofErr w:type="spellStart"/>
      <w:r w:rsidRPr="00DF1C39">
        <w:rPr>
          <w:rFonts w:asciiTheme="minorHAnsi" w:hAnsiTheme="minorHAnsi"/>
          <w:b w:val="0"/>
          <w:i/>
          <w:sz w:val="24"/>
          <w:szCs w:val="24"/>
        </w:rPr>
        <w:t>Sudamérica</w:t>
      </w:r>
      <w:proofErr w:type="spellEnd"/>
      <w:r w:rsidRPr="00DF1C39">
        <w:rPr>
          <w:rFonts w:asciiTheme="minorHAnsi" w:hAnsiTheme="minorHAnsi"/>
          <w:b w:val="0"/>
          <w:i/>
          <w:sz w:val="24"/>
          <w:szCs w:val="24"/>
        </w:rPr>
        <w:t xml:space="preserve"> Austral</w:t>
      </w:r>
      <w:r w:rsidRPr="00DF1C39">
        <w:rPr>
          <w:rFonts w:asciiTheme="minorHAnsi" w:hAnsiTheme="minorHAnsi"/>
          <w:b w:val="0"/>
          <w:sz w:val="24"/>
          <w:szCs w:val="24"/>
        </w:rPr>
        <w:t xml:space="preserve">, San Diego </w:t>
      </w:r>
      <w:proofErr w:type="spellStart"/>
      <w:r w:rsidRPr="00DF1C39">
        <w:rPr>
          <w:rFonts w:asciiTheme="minorHAnsi" w:hAnsiTheme="minorHAnsi"/>
          <w:b w:val="0"/>
          <w:sz w:val="24"/>
          <w:szCs w:val="24"/>
        </w:rPr>
        <w:t>University</w:t>
      </w:r>
      <w:proofErr w:type="spellEnd"/>
      <w:r w:rsidRPr="00DF1C39">
        <w:rPr>
          <w:rFonts w:asciiTheme="minorHAnsi" w:hAnsiTheme="minorHAnsi"/>
          <w:b w:val="0"/>
          <w:sz w:val="24"/>
          <w:szCs w:val="24"/>
        </w:rPr>
        <w:t>, 280-281 p.</w:t>
      </w:r>
    </w:p>
    <w:p w14:paraId="658E1884" w14:textId="77777777" w:rsidR="004A5E35" w:rsidRPr="00DF1C39" w:rsidRDefault="004A5E35" w:rsidP="004A5E3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</w:pPr>
      <w:r w:rsidRPr="00DF1C39">
        <w:rPr>
          <w:rFonts w:asciiTheme="minorHAnsi" w:hAnsiTheme="minorHAnsi"/>
          <w:sz w:val="24"/>
          <w:szCs w:val="24"/>
          <w:lang w:val="en-US"/>
        </w:rPr>
        <w:lastRenderedPageBreak/>
        <w:t xml:space="preserve">Wirth, W.W. &amp; Dyce, A.L. (1985) </w:t>
      </w:r>
      <w:proofErr w:type="gramStart"/>
      <w:r w:rsidRPr="00DF1C39">
        <w:rPr>
          <w:rFonts w:asciiTheme="minorHAnsi" w:hAnsiTheme="minorHAnsi"/>
          <w:sz w:val="24"/>
          <w:szCs w:val="24"/>
          <w:lang w:val="en-US"/>
        </w:rPr>
        <w:t>The</w:t>
      </w:r>
      <w:proofErr w:type="gramEnd"/>
      <w:r w:rsidRPr="00DF1C39">
        <w:rPr>
          <w:rFonts w:asciiTheme="minorHAnsi" w:hAnsiTheme="minorHAnsi"/>
          <w:sz w:val="24"/>
          <w:szCs w:val="24"/>
          <w:lang w:val="en-US"/>
        </w:rPr>
        <w:t xml:space="preserve"> current taxonomic status of the </w:t>
      </w:r>
      <w:proofErr w:type="spellStart"/>
      <w:r w:rsidRPr="00DF1C39">
        <w:rPr>
          <w:rFonts w:asciiTheme="minorHAnsi" w:hAnsiTheme="minorHAnsi"/>
          <w:i/>
          <w:sz w:val="24"/>
          <w:szCs w:val="24"/>
          <w:lang w:val="en-US"/>
        </w:rPr>
        <w:t>Culicoides</w:t>
      </w:r>
      <w:proofErr w:type="spellEnd"/>
      <w:r w:rsidRPr="00DF1C39">
        <w:rPr>
          <w:rFonts w:asciiTheme="minorHAnsi" w:hAnsiTheme="minorHAnsi"/>
          <w:sz w:val="24"/>
          <w:szCs w:val="24"/>
          <w:lang w:val="en-US"/>
        </w:rPr>
        <w:t xml:space="preserve"> vectors of bluetongue viruses. </w:t>
      </w:r>
      <w:r w:rsidRPr="00DF1C39">
        <w:rPr>
          <w:rFonts w:asciiTheme="minorHAnsi" w:hAnsiTheme="minorHAnsi"/>
          <w:i/>
          <w:sz w:val="24"/>
          <w:szCs w:val="24"/>
          <w:shd w:val="clear" w:color="auto" w:fill="FFFFFF"/>
          <w:lang w:val="en-US"/>
        </w:rPr>
        <w:t xml:space="preserve">Progress in Clinical and Biological </w:t>
      </w:r>
      <w:proofErr w:type="spellStart"/>
      <w:r w:rsidRPr="00DF1C39">
        <w:rPr>
          <w:rFonts w:asciiTheme="minorHAnsi" w:hAnsiTheme="minorHAnsi"/>
          <w:i/>
          <w:sz w:val="24"/>
          <w:szCs w:val="24"/>
          <w:shd w:val="clear" w:color="auto" w:fill="FFFFFF"/>
          <w:lang w:val="en-US"/>
        </w:rPr>
        <w:t>Reseach</w:t>
      </w:r>
      <w:proofErr w:type="spellEnd"/>
      <w:r w:rsidRPr="00DF1C39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, </w:t>
      </w:r>
      <w:r w:rsidRPr="00DF1C39"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178,151-164. </w:t>
      </w:r>
    </w:p>
    <w:p w14:paraId="174F687B" w14:textId="77777777" w:rsidR="004A5E35" w:rsidRPr="00DF1C39" w:rsidRDefault="004A5E35" w:rsidP="004A5E35">
      <w:pPr>
        <w:pStyle w:val="PargrafodaLista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F1C39">
        <w:rPr>
          <w:rFonts w:asciiTheme="minorHAnsi" w:hAnsiTheme="minorHAnsi"/>
          <w:sz w:val="24"/>
          <w:szCs w:val="24"/>
          <w:lang w:val="en-US"/>
        </w:rPr>
        <w:t xml:space="preserve">Wirth, W.W. &amp; Marston, N. (1968) </w:t>
      </w:r>
      <w:proofErr w:type="gramStart"/>
      <w:r w:rsidRPr="00DF1C39">
        <w:rPr>
          <w:rFonts w:asciiTheme="minorHAnsi" w:hAnsiTheme="minorHAnsi"/>
          <w:sz w:val="24"/>
          <w:szCs w:val="24"/>
          <w:lang w:val="en-US"/>
        </w:rPr>
        <w:t>A</w:t>
      </w:r>
      <w:proofErr w:type="gramEnd"/>
      <w:r w:rsidRPr="00DF1C39">
        <w:rPr>
          <w:rFonts w:asciiTheme="minorHAnsi" w:hAnsiTheme="minorHAnsi"/>
          <w:sz w:val="24"/>
          <w:szCs w:val="24"/>
          <w:lang w:val="en-US"/>
        </w:rPr>
        <w:t xml:space="preserve"> method for mounting small insects on microscope slides in Canada Balsam. </w:t>
      </w:r>
      <w:r w:rsidRPr="00DF1C39">
        <w:rPr>
          <w:rFonts w:asciiTheme="minorHAnsi" w:hAnsiTheme="minorHAnsi"/>
          <w:i/>
          <w:sz w:val="24"/>
          <w:szCs w:val="24"/>
          <w:lang w:val="en-US"/>
        </w:rPr>
        <w:t>Annals of Entomological Society of America</w:t>
      </w:r>
      <w:r w:rsidRPr="00DF1C39">
        <w:rPr>
          <w:rFonts w:asciiTheme="minorHAnsi" w:hAnsiTheme="minorHAnsi"/>
          <w:sz w:val="24"/>
          <w:szCs w:val="24"/>
          <w:lang w:val="en-US"/>
        </w:rPr>
        <w:t>, 61(3), 783-784.</w:t>
      </w:r>
    </w:p>
    <w:p w14:paraId="5C67F912" w14:textId="77777777" w:rsidR="004A5E35" w:rsidRPr="00DF1C39" w:rsidRDefault="004A5E35" w:rsidP="004A5E35">
      <w:pPr>
        <w:pStyle w:val="PargrafodaLista"/>
        <w:spacing w:after="0" w:line="240" w:lineRule="auto"/>
        <w:jc w:val="both"/>
        <w:rPr>
          <w:rStyle w:val="apple-style-span"/>
          <w:rFonts w:asciiTheme="minorHAnsi" w:hAnsiTheme="minorHAnsi"/>
          <w:sz w:val="24"/>
          <w:szCs w:val="24"/>
          <w:shd w:val="clear" w:color="auto" w:fill="FFFFFF"/>
          <w:lang w:val="en-US"/>
        </w:rPr>
      </w:pPr>
    </w:p>
    <w:p w14:paraId="1BCAFED5" w14:textId="77777777" w:rsidR="004A5E35" w:rsidRPr="00DF1C39" w:rsidRDefault="004A5E35" w:rsidP="00326638">
      <w:pPr>
        <w:pStyle w:val="SemEspaamento"/>
        <w:rPr>
          <w:rFonts w:asciiTheme="minorHAnsi" w:hAnsiTheme="minorHAnsi" w:cs="Arial"/>
          <w:sz w:val="24"/>
          <w:szCs w:val="24"/>
          <w:lang w:val="en-US"/>
        </w:rPr>
      </w:pPr>
    </w:p>
    <w:p w14:paraId="559EFC4E" w14:textId="77777777" w:rsidR="009D26C6" w:rsidRPr="00DF1C39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DF1C39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14:paraId="4F422EC0" w14:textId="77777777" w:rsidR="009D26C6" w:rsidRPr="00DF1C39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DF1C39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DF1C39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8F0"/>
    <w:multiLevelType w:val="hybridMultilevel"/>
    <w:tmpl w:val="3AE24196"/>
    <w:lvl w:ilvl="0" w:tplc="F124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A0215"/>
    <w:rsid w:val="000C2A99"/>
    <w:rsid w:val="000F5938"/>
    <w:rsid w:val="0013502C"/>
    <w:rsid w:val="00135A0B"/>
    <w:rsid w:val="00156EED"/>
    <w:rsid w:val="00175708"/>
    <w:rsid w:val="0020577B"/>
    <w:rsid w:val="00235E47"/>
    <w:rsid w:val="00254B40"/>
    <w:rsid w:val="00255152"/>
    <w:rsid w:val="00326638"/>
    <w:rsid w:val="003964ED"/>
    <w:rsid w:val="003A7018"/>
    <w:rsid w:val="003F580B"/>
    <w:rsid w:val="00410EAD"/>
    <w:rsid w:val="00440DF4"/>
    <w:rsid w:val="004A5E35"/>
    <w:rsid w:val="004B2776"/>
    <w:rsid w:val="004E3E3C"/>
    <w:rsid w:val="0052706E"/>
    <w:rsid w:val="00594BC7"/>
    <w:rsid w:val="00597A61"/>
    <w:rsid w:val="005A7091"/>
    <w:rsid w:val="005D3116"/>
    <w:rsid w:val="005E68CC"/>
    <w:rsid w:val="005F1160"/>
    <w:rsid w:val="00611CA0"/>
    <w:rsid w:val="00615F60"/>
    <w:rsid w:val="006D2D28"/>
    <w:rsid w:val="0073366A"/>
    <w:rsid w:val="007F40DE"/>
    <w:rsid w:val="00943BD9"/>
    <w:rsid w:val="009B09E7"/>
    <w:rsid w:val="009D26C6"/>
    <w:rsid w:val="00AC052B"/>
    <w:rsid w:val="00B46D11"/>
    <w:rsid w:val="00B52E37"/>
    <w:rsid w:val="00B55642"/>
    <w:rsid w:val="00BA1077"/>
    <w:rsid w:val="00BB45FC"/>
    <w:rsid w:val="00BE7BC5"/>
    <w:rsid w:val="00C2610A"/>
    <w:rsid w:val="00C6563A"/>
    <w:rsid w:val="00C65ADC"/>
    <w:rsid w:val="00CB5F1A"/>
    <w:rsid w:val="00D7768F"/>
    <w:rsid w:val="00DF1C39"/>
    <w:rsid w:val="00E00374"/>
    <w:rsid w:val="00E124B7"/>
    <w:rsid w:val="00E150C0"/>
    <w:rsid w:val="00E305F1"/>
    <w:rsid w:val="00E559B0"/>
    <w:rsid w:val="00EA617B"/>
    <w:rsid w:val="00EB2BC5"/>
    <w:rsid w:val="00EC1446"/>
    <w:rsid w:val="00F15066"/>
    <w:rsid w:val="00F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1ECA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  <w:style w:type="character" w:customStyle="1" w:styleId="Meno1">
    <w:name w:val="Menção1"/>
    <w:basedOn w:val="Fontepargpadro"/>
    <w:uiPriority w:val="99"/>
    <w:semiHidden/>
    <w:unhideWhenUsed/>
    <w:rsid w:val="0073366A"/>
    <w:rPr>
      <w:color w:val="2B579A"/>
      <w:shd w:val="clear" w:color="auto" w:fill="E6E6E6"/>
    </w:rPr>
  </w:style>
  <w:style w:type="character" w:customStyle="1" w:styleId="apple-style-span">
    <w:name w:val="apple-style-span"/>
    <w:basedOn w:val="Fontepargpadro"/>
    <w:rsid w:val="004A5E35"/>
  </w:style>
  <w:style w:type="character" w:customStyle="1" w:styleId="nlmarticle-title">
    <w:name w:val="nlm_article-title"/>
    <w:basedOn w:val="Fontepargpadro"/>
    <w:rsid w:val="004A5E35"/>
  </w:style>
  <w:style w:type="character" w:customStyle="1" w:styleId="nlmfpage">
    <w:name w:val="nlm_fpage"/>
    <w:basedOn w:val="Fontepargpadro"/>
    <w:rsid w:val="004A5E35"/>
  </w:style>
  <w:style w:type="character" w:customStyle="1" w:styleId="nlmlpage">
    <w:name w:val="nlm_lpage"/>
    <w:basedOn w:val="Fontepargpadro"/>
    <w:rsid w:val="004A5E35"/>
  </w:style>
  <w:style w:type="character" w:styleId="Refdecomentrio">
    <w:name w:val="annotation reference"/>
    <w:basedOn w:val="Fontepargpadro"/>
    <w:uiPriority w:val="99"/>
    <w:semiHidden/>
    <w:unhideWhenUsed/>
    <w:rsid w:val="004A5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E3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E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bio.ac.cr/papers/Ceratopogonid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2017-07-12T14:47:00Z</dcterms:created>
  <dcterms:modified xsi:type="dcterms:W3CDTF">2017-07-12T14:47:00Z</dcterms:modified>
</cp:coreProperties>
</file>